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32"/>
          <w:szCs w:val="18"/>
        </w:rPr>
      </w:pPr>
      <w:r>
        <w:rPr>
          <w:rFonts w:cs="Arial" w:ascii="Arial" w:hAnsi="Arial"/>
          <w:caps/>
          <w:color w:val="FFFFFF"/>
          <w:sz w:val="32"/>
          <w:szCs w:val="18"/>
        </w:rPr>
        <w:t>ТУР «АРХЫЗ+ДОМБАЙ»</w:t>
      </w:r>
    </w:p>
    <w:p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Cs w:val="18"/>
        </w:rPr>
      </w:pPr>
      <w:r>
        <w:rPr>
          <w:rFonts w:cs="Arial" w:ascii="Arial" w:hAnsi="Arial"/>
          <w:caps/>
          <w:color w:val="FFFFFF"/>
          <w:szCs w:val="18"/>
        </w:rPr>
        <w:t>...ПО ГОРНЫМ ПРОСТОРАМ КАВКАЗА..06.01.-08.01.(2019)...</w:t>
      </w:r>
    </w:p>
    <w:p>
      <w:pPr>
        <w:pStyle w:val="Normal"/>
        <w:jc w:val="both"/>
        <w:rPr>
          <w:rFonts w:ascii="Arial" w:hAnsi="Arial" w:cs="Arial"/>
          <w:color w:val="363636"/>
          <w:sz w:val="18"/>
          <w:szCs w:val="18"/>
        </w:rPr>
      </w:pPr>
      <w:r>
        <w:rPr/>
        <w:drawing>
          <wp:inline distT="0" distB="0" distL="0" distR="0">
            <wp:extent cx="2019300" cy="1333500"/>
            <wp:effectExtent l="0" t="0" r="0" b="0"/>
            <wp:docPr id="1" name="Рисунок 21" descr="По канатным дорогам в Домб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По канатным дорогам в Домба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019300" cy="1333500"/>
            <wp:effectExtent l="0" t="0" r="0" b="0"/>
            <wp:docPr id="2" name="Рисунок 8" descr="Северный храм в честь Георгия Победонос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Северный храм в честь Георгия Победоносца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019300" cy="1333500"/>
            <wp:effectExtent l="0" t="0" r="0" b="0"/>
            <wp:docPr id="3" name="Рисунок 1" descr="Большой телескоп (Б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Большой телескоп (БТ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bookmarkStart w:id="0" w:name="_GoBack"/>
      <w:bookmarkEnd w:id="0"/>
      <w:r>
        <w:rPr>
          <w:rFonts w:cs="Arial" w:ascii="Arial" w:hAnsi="Arial"/>
          <w:color w:val="FFFFFF"/>
          <w:sz w:val="18"/>
          <w:szCs w:val="18"/>
        </w:rPr>
        <w:t>1 день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06.01 в 05.00. Выезд из Краснодара в 05.30</w:t>
      </w:r>
      <w:r>
        <w:rPr>
          <w:color w:val="363636"/>
          <w:sz w:val="18"/>
          <w:szCs w:val="18"/>
        </w:rPr>
        <w:t> от</w:t>
      </w:r>
      <w:r>
        <w:rPr>
          <w:b/>
          <w:bCs/>
          <w:color w:val="363636"/>
          <w:sz w:val="18"/>
          <w:szCs w:val="18"/>
        </w:rPr>
        <w:t> магазина «МАГНИТ-КОСМЕТИК» </w:t>
      </w:r>
      <w:r>
        <w:rPr>
          <w:color w:val="363636"/>
          <w:sz w:val="18"/>
          <w:szCs w:val="18"/>
        </w:rPr>
        <w:t>(ул. Ставропольская, 86 – напротив сквера, район «Вещевого рынка»). Путевая информация. </w:t>
      </w:r>
      <w:r>
        <w:rPr>
          <w:b/>
          <w:bCs/>
          <w:color w:val="363636"/>
          <w:sz w:val="18"/>
          <w:szCs w:val="18"/>
        </w:rPr>
        <w:t>Экскурсия п. Архыз</w:t>
      </w:r>
      <w:r>
        <w:rPr>
          <w:color w:val="363636"/>
          <w:sz w:val="18"/>
          <w:szCs w:val="18"/>
        </w:rPr>
        <w:t> - одно из тех мест России, при посещении которых захватывает дух от разнообразия испытываемых эмоций. Этот удивительный курорт, окружённый горами, с мягким климатом и практически всегда солнечной погодой, заселённый уже в глубокой древности, богат как историческими объектами, так и природной красотой. Курорт «Архыз» находится на высоте от 1 440 и до 3 300 метров над уровнем моря. Самые высокие точки курорта — это </w:t>
      </w:r>
      <w:r>
        <w:rPr>
          <w:b/>
          <w:bCs/>
          <w:color w:val="363636"/>
          <w:sz w:val="18"/>
          <w:szCs w:val="18"/>
        </w:rPr>
        <w:t>горы Пшиш и София. </w:t>
      </w:r>
      <w:r>
        <w:rPr>
          <w:color w:val="363636"/>
          <w:sz w:val="18"/>
          <w:szCs w:val="18"/>
        </w:rPr>
        <w:t>Здесь есть и культурно-туристический комплекс с горнолыжными трассами, канатными дорогами, заповедник, а также завод «Архыз», который занимается добычей минеральной воды непосредственно из натурального источника. Вода, которая прославилась на весь мир своими полезными качествами. Горы, свежий морозный воздух и дух свободы наших предков переполняют эти края. Всем любителям такой атмосферы станет интересен этот край.</w:t>
      </w:r>
      <w:r>
        <w:rPr>
          <w:b/>
          <w:bCs/>
          <w:color w:val="363636"/>
          <w:sz w:val="18"/>
          <w:szCs w:val="18"/>
        </w:rPr>
        <w:t> Экскурсия на молодой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горнолыжный курорт «Архыз», в туристическую деревню «Романтик». </w:t>
      </w:r>
      <w:r>
        <w:rPr>
          <w:color w:val="363636"/>
          <w:sz w:val="18"/>
          <w:szCs w:val="18"/>
        </w:rPr>
        <w:t>На курорте есть прокат горнолыжного оборудования, работает школа горнолыжных инструкторов, есть ледовый каток под открытым небом. </w:t>
      </w:r>
      <w:r>
        <w:rPr>
          <w:b/>
          <w:bCs/>
          <w:color w:val="363636"/>
          <w:sz w:val="18"/>
          <w:szCs w:val="18"/>
        </w:rPr>
        <w:t>По гондольной канатной дороге с романтическим названием «Млечный путь» поднимаясь на высоту 2240 метров, </w:t>
      </w:r>
      <w:r>
        <w:rPr>
          <w:color w:val="363636"/>
          <w:sz w:val="18"/>
          <w:szCs w:val="18"/>
        </w:rPr>
        <w:t>можно увидеть всё великолепие Архыза, всю красоту этих удивительных мест. У Вас будет возможность  прокатиться на ватрушках (санках), посетить местные кафе, а так же ширм-бар (горный ресторан), расположенный  на верхней станции гондольной канатной дороги, в которых готовят  блюда национальной кухни (шашлык, хычины, шорпа, манты, глинтвейн, горный чай), а так же многочисленные магазинчики и сувенирные лавки. Переезд в Академгородок. Размещение в гостинице. </w:t>
      </w:r>
      <w:r>
        <w:rPr>
          <w:b/>
          <w:bCs/>
          <w:color w:val="363636"/>
          <w:sz w:val="18"/>
          <w:szCs w:val="18"/>
        </w:rPr>
        <w:t>Ужин.</w:t>
      </w:r>
    </w:p>
    <w:p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cs="Arial" w:ascii="Arial" w:hAnsi="Arial"/>
          <w:color w:val="FFFFFF"/>
          <w:sz w:val="18"/>
          <w:szCs w:val="18"/>
        </w:rPr>
        <w:t>2 день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 Экскурсия в п. Домбай.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 Обзорная экскурсия по Домбайской поляне.</w:t>
      </w:r>
      <w:r>
        <w:rPr>
          <w:color w:val="363636"/>
          <w:sz w:val="18"/>
          <w:szCs w:val="18"/>
        </w:rPr>
        <w:t> Домбай – один из самых солнечных курортов Северного Кавказа. </w:t>
      </w:r>
      <w:r>
        <w:rPr>
          <w:b/>
          <w:bCs/>
          <w:color w:val="363636"/>
          <w:sz w:val="18"/>
          <w:szCs w:val="18"/>
        </w:rPr>
        <w:t>Поселок Домбай</w:t>
      </w:r>
      <w:r>
        <w:rPr>
          <w:color w:val="363636"/>
          <w:sz w:val="18"/>
          <w:szCs w:val="18"/>
        </w:rPr>
        <w:t> расположен в самом центре Тебердинского заповедника на высоте 1750 метров при слиянии трех рек: Аманауза, Домбай-Ульгена и Али-бека.  Самые высокие вершины поднимаются до высоты 4000 - 5000м. Склоны гор на высоте 2500-3000 м почти круглый год покрыты голубым снежным покровом. Домбай называют сердцем гор. Горы... Неповторимые очертания — суть всей красоты этой замечательной местности. Немного в мире найдется мест с таким разнообразием и богатством природы. </w:t>
      </w:r>
      <w:r>
        <w:rPr>
          <w:b/>
          <w:bCs/>
          <w:color w:val="363636"/>
          <w:sz w:val="18"/>
          <w:szCs w:val="18"/>
        </w:rPr>
        <w:t>Экскурсия на кругозор Мусса-Ачитара</w:t>
      </w:r>
      <w:r>
        <w:rPr>
          <w:color w:val="363636"/>
          <w:sz w:val="18"/>
          <w:szCs w:val="18"/>
        </w:rPr>
        <w:t>, находящемуся на высоте </w:t>
      </w:r>
      <w:r>
        <w:rPr>
          <w:b/>
          <w:bCs/>
          <w:color w:val="363636"/>
          <w:sz w:val="18"/>
          <w:szCs w:val="18"/>
        </w:rPr>
        <w:t>3012 метров</w:t>
      </w:r>
      <w:r>
        <w:rPr>
          <w:color w:val="363636"/>
          <w:sz w:val="18"/>
          <w:szCs w:val="18"/>
        </w:rPr>
        <w:t> над уровнем моря, с которого открывается прекрасная панорама Главного Кавказского хребта, виден Эльбрус, а также – вид на пять ущелий.… Вы узнаете о каждой вершине, об ущельях, о народах, населявших эти земли в древние времена, и еще много полезного и интересного. Поднимаясь вверх по канатной дороге, Вы сможете увидеть всё великолепие Домбайской Поляны, всю красоту этих удивительных мест. Вся </w:t>
      </w:r>
      <w:r>
        <w:rPr>
          <w:rStyle w:val="Strong"/>
          <w:color w:val="363636"/>
          <w:sz w:val="18"/>
          <w:szCs w:val="18"/>
        </w:rPr>
        <w:t>Домбайская поляна</w:t>
      </w:r>
      <w:r>
        <w:rPr>
          <w:color w:val="363636"/>
          <w:sz w:val="18"/>
          <w:szCs w:val="18"/>
        </w:rPr>
        <w:t> будет видна как на ладони, и самые величественные вершины </w:t>
      </w:r>
      <w:r>
        <w:rPr>
          <w:rStyle w:val="Strong"/>
          <w:color w:val="363636"/>
          <w:sz w:val="18"/>
          <w:szCs w:val="18"/>
        </w:rPr>
        <w:t>Домбай-Ёльген, Джугутурлучат, Софруджу, Белалакая, Алибек и Сулахат</w:t>
      </w:r>
      <w:r>
        <w:rPr>
          <w:color w:val="363636"/>
          <w:sz w:val="18"/>
          <w:szCs w:val="18"/>
        </w:rPr>
        <w:t>, окружающие ее и кажущиеся такими недосягаемыми снизу, предстанут во всем своем великолепии. А по другую сторону горы Мусса-Ачитара открывается великолепный вид на ущелье </w:t>
      </w:r>
      <w:r>
        <w:rPr>
          <w:rStyle w:val="Strong"/>
          <w:color w:val="363636"/>
          <w:sz w:val="18"/>
          <w:szCs w:val="18"/>
        </w:rPr>
        <w:t>Гоначхир.</w:t>
      </w:r>
      <w:r>
        <w:rPr>
          <w:b/>
          <w:bCs/>
          <w:color w:val="363636"/>
          <w:sz w:val="18"/>
          <w:szCs w:val="18"/>
        </w:rPr>
        <w:t>  Свободное время для прогулок по зимнему лесу, для катание  на лыжах, сноубордах, санках. </w:t>
      </w:r>
      <w:r>
        <w:rPr>
          <w:color w:val="363636"/>
          <w:sz w:val="18"/>
          <w:szCs w:val="18"/>
        </w:rPr>
        <w:t> Возвращение в гостиницу. </w:t>
      </w:r>
      <w:r>
        <w:rPr>
          <w:b/>
          <w:bCs/>
          <w:color w:val="363636"/>
          <w:sz w:val="18"/>
          <w:szCs w:val="18"/>
        </w:rPr>
        <w:t>Ужин</w:t>
      </w:r>
      <w:r>
        <w:rPr>
          <w:color w:val="363636"/>
          <w:sz w:val="18"/>
          <w:szCs w:val="18"/>
        </w:rPr>
        <w:t>. Свободное время.</w:t>
      </w:r>
    </w:p>
    <w:p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cs="Arial" w:ascii="Arial" w:hAnsi="Arial"/>
          <w:color w:val="FFFFFF"/>
          <w:sz w:val="18"/>
          <w:szCs w:val="18"/>
        </w:rPr>
        <w:t>3 день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color w:val="363636"/>
          <w:sz w:val="18"/>
          <w:szCs w:val="18"/>
        </w:rPr>
        <w:t>Освобождение номеров.</w:t>
      </w:r>
      <w:r>
        <w:rPr>
          <w:b/>
          <w:bCs/>
          <w:color w:val="363636"/>
          <w:sz w:val="18"/>
          <w:szCs w:val="18"/>
        </w:rPr>
        <w:t> Экскурсия на склоны г. Пастухова на высоту 2100 м, где находится Большой Телескоп (БТА) – </w:t>
      </w:r>
      <w:r>
        <w:rPr>
          <w:color w:val="363636"/>
          <w:sz w:val="18"/>
          <w:szCs w:val="18"/>
        </w:rPr>
        <w:t>крупнейший в России оптический телескоп – один из центров наземных наблюдений объектов Вселенной.  Звёзды, галактики, планеты, внеземные цивилизации, туманности об этом вы узнаете много нового и интересного.</w:t>
      </w:r>
      <w:r>
        <w:rPr>
          <w:b/>
          <w:bCs/>
          <w:color w:val="363636"/>
          <w:sz w:val="18"/>
          <w:szCs w:val="18"/>
        </w:rPr>
        <w:t> Экскурсия на Нижне-Архызский археологический комплекс - </w:t>
      </w:r>
      <w:r>
        <w:rPr>
          <w:color w:val="363636"/>
          <w:sz w:val="18"/>
          <w:szCs w:val="18"/>
        </w:rPr>
        <w:t>древнее городище – </w:t>
      </w:r>
      <w:r>
        <w:rPr>
          <w:b/>
          <w:bCs/>
          <w:color w:val="363636"/>
          <w:sz w:val="18"/>
          <w:szCs w:val="18"/>
        </w:rPr>
        <w:t>развалины города Маас (Магас) – столицы древней Алании,</w:t>
      </w:r>
      <w:r>
        <w:rPr>
          <w:color w:val="363636"/>
          <w:sz w:val="18"/>
          <w:szCs w:val="18"/>
        </w:rPr>
        <w:t> государства, существовавшего на Северном Кавказе почти 1000 лет назад. </w:t>
      </w:r>
      <w:r>
        <w:rPr>
          <w:b/>
          <w:bCs/>
          <w:color w:val="363636"/>
          <w:sz w:val="18"/>
          <w:szCs w:val="18"/>
        </w:rPr>
        <w:t>Алания </w:t>
      </w:r>
      <w:r>
        <w:rPr>
          <w:color w:val="363636"/>
          <w:sz w:val="18"/>
          <w:szCs w:val="18"/>
        </w:rPr>
        <w:t>– первое на территории нашей страны христианское государство; предки карачаевцев – аланы – приняли христианство за несколько десятилетий до крещения Руси. </w:t>
      </w:r>
      <w:r>
        <w:rPr>
          <w:b/>
          <w:bCs/>
          <w:color w:val="363636"/>
          <w:sz w:val="18"/>
          <w:szCs w:val="18"/>
        </w:rPr>
        <w:t>Экскурсия и осмотр трёх христианских  храмов Х века: Северный храм (</w:t>
      </w:r>
      <w:r>
        <w:rPr>
          <w:color w:val="363636"/>
          <w:sz w:val="18"/>
          <w:szCs w:val="18"/>
        </w:rPr>
        <w:t>кафедральный собор Аланской епархии, центр её духовной и культурной жизни в X – XIII вв.). В настоящее время в храме проводится богослужение только один раз в году, 6 мая – в день памяти одного из наиболее почитаемых на Северном Кавказе святых – </w:t>
      </w:r>
      <w:r>
        <w:rPr>
          <w:b/>
          <w:bCs/>
          <w:color w:val="363636"/>
          <w:sz w:val="18"/>
          <w:szCs w:val="18"/>
        </w:rPr>
        <w:t>Георгия Победоносца</w:t>
      </w:r>
      <w:r>
        <w:rPr>
          <w:color w:val="363636"/>
          <w:sz w:val="18"/>
          <w:szCs w:val="18"/>
        </w:rPr>
        <w:t>.</w:t>
      </w:r>
      <w:r>
        <w:rPr>
          <w:b/>
          <w:bCs/>
          <w:color w:val="363636"/>
          <w:sz w:val="18"/>
          <w:szCs w:val="18"/>
        </w:rPr>
        <w:t> Средний храм </w:t>
      </w:r>
      <w:r>
        <w:rPr>
          <w:color w:val="363636"/>
          <w:sz w:val="18"/>
          <w:szCs w:val="18"/>
        </w:rPr>
        <w:t>был заложен в праздник Преображения Господня. Монахи освятили его </w:t>
      </w:r>
      <w:r>
        <w:rPr>
          <w:b/>
          <w:bCs/>
          <w:color w:val="363636"/>
          <w:sz w:val="18"/>
          <w:szCs w:val="18"/>
        </w:rPr>
        <w:t>в честь Святой Троицы,</w:t>
      </w:r>
      <w:r>
        <w:rPr>
          <w:color w:val="363636"/>
          <w:sz w:val="18"/>
          <w:szCs w:val="18"/>
        </w:rPr>
        <w:t> поэтому в настоящее время традиционно на второй день этого праздника в день Святого Духа в храме совершается молебен. Средний храм, как полагают археологи, вполне мог быть собором, обслуживающим христианское население города. </w:t>
      </w:r>
      <w:r>
        <w:rPr>
          <w:b/>
          <w:bCs/>
          <w:color w:val="363636"/>
          <w:sz w:val="18"/>
          <w:szCs w:val="18"/>
        </w:rPr>
        <w:t>Южный храм – </w:t>
      </w:r>
      <w:r>
        <w:rPr>
          <w:color w:val="363636"/>
          <w:sz w:val="18"/>
          <w:szCs w:val="18"/>
        </w:rPr>
        <w:t>единственный из трёх ныне действующий, при постройке была </w:t>
      </w:r>
      <w:r>
        <w:rPr>
          <w:b/>
          <w:bCs/>
          <w:color w:val="363636"/>
          <w:sz w:val="18"/>
          <w:szCs w:val="18"/>
        </w:rPr>
        <w:t>посвящена св. пророку Илии </w:t>
      </w:r>
      <w:r>
        <w:rPr>
          <w:color w:val="363636"/>
          <w:sz w:val="18"/>
          <w:szCs w:val="18"/>
        </w:rPr>
        <w:t>(Ильинская церковь)</w:t>
      </w:r>
      <w:r>
        <w:rPr>
          <w:b/>
          <w:bCs/>
          <w:color w:val="363636"/>
          <w:sz w:val="18"/>
          <w:szCs w:val="18"/>
        </w:rPr>
        <w:t>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Пешеходная экскурсия к Архызскому Лику</w:t>
      </w:r>
      <w:r>
        <w:rPr>
          <w:color w:val="363636"/>
          <w:sz w:val="18"/>
          <w:szCs w:val="18"/>
        </w:rPr>
        <w:t> (наскальная потаённая икона Христа Спасителя «Спас Нерукотворный», место паломничества верующих)</w:t>
      </w:r>
      <w:r>
        <w:rPr>
          <w:b/>
          <w:bCs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</w:rPr>
        <w:t>Наскальная икона находится на склоне </w:t>
      </w:r>
      <w:r>
        <w:rPr>
          <w:b/>
          <w:bCs/>
          <w:color w:val="363636"/>
          <w:sz w:val="18"/>
          <w:szCs w:val="18"/>
        </w:rPr>
        <w:t>хребта Мицешта</w:t>
      </w:r>
      <w:r>
        <w:rPr>
          <w:color w:val="363636"/>
          <w:sz w:val="18"/>
          <w:szCs w:val="18"/>
        </w:rPr>
        <w:t> рядом с городищем, была обнаружена в годовщину 2000 – летия христианства, рядом находится раннехристианский некрополь. Спаситель смотрит на Восток, на тысячелетние христианские храмы, стоящие над развалинами древней столицы государства - города Магас. </w:t>
      </w:r>
      <w:r>
        <w:rPr>
          <w:b/>
          <w:bCs/>
          <w:color w:val="363636"/>
          <w:sz w:val="18"/>
          <w:szCs w:val="18"/>
        </w:rPr>
        <w:t>Отъезд в  Краснодар.</w:t>
      </w:r>
    </w:p>
    <w:p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cs="Arial" w:ascii="Arial" w:hAnsi="Arial"/>
          <w:color w:val="FFFFFF"/>
          <w:sz w:val="18"/>
          <w:szCs w:val="18"/>
        </w:rPr>
        <w:t>Стоимость тура на человека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t>Гостиница «АКАДЕМИЯ»</w:t>
      </w:r>
      <w:r>
        <w:rPr>
          <w:color w:val="363636"/>
          <w:sz w:val="18"/>
          <w:szCs w:val="18"/>
        </w:rPr>
        <w:t> - находится в живописной лесной зоне п. Архыз, на высоте 1450 м над уровнем моря, на территории Академгородка, на берегу р. Больщой Зеленчук). </w:t>
      </w:r>
      <w:r>
        <w:rPr>
          <w:b/>
          <w:bCs/>
          <w:color w:val="363636"/>
          <w:sz w:val="18"/>
          <w:szCs w:val="18"/>
          <w:u w:val="single"/>
        </w:rPr>
        <w:t>Размещение: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Стандарт ПК (блок 2+2): </w:t>
      </w:r>
      <w:r>
        <w:rPr>
          <w:color w:val="363636"/>
          <w:sz w:val="18"/>
          <w:szCs w:val="18"/>
        </w:rPr>
        <w:t>хорошие номера после ремонта, состоящие из двух изолированных комнат. В каждой комнате раздельные кровати, ТВ, стандартный набор мебели. Удобства (душ, санузел) на блок. </w:t>
      </w:r>
      <w:r>
        <w:rPr>
          <w:b/>
          <w:bCs/>
          <w:color w:val="363636"/>
          <w:sz w:val="18"/>
          <w:szCs w:val="18"/>
        </w:rPr>
        <w:t> Стандарт ПК:</w:t>
      </w:r>
      <w:r>
        <w:rPr>
          <w:color w:val="363636"/>
          <w:sz w:val="18"/>
          <w:szCs w:val="18"/>
        </w:rPr>
        <w:t> хорошие номера после «евроремонта» 1-но, 2-х, 3-х, 4-х местные. В номере (раздельные кровати, санузел, душ, ТВ, холодильник, балкон).</w:t>
      </w:r>
    </w:p>
    <w:tbl>
      <w:tblPr>
        <w:tblW w:w="10644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278"/>
        <w:gridCol w:w="2112"/>
        <w:gridCol w:w="1714"/>
        <w:gridCol w:w="1755"/>
        <w:gridCol w:w="1785"/>
      </w:tblGrid>
      <w:tr>
        <w:trPr/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Размещение</w:t>
            </w:r>
          </w:p>
        </w:tc>
        <w:tc>
          <w:tcPr>
            <w:tcW w:w="2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Стандарт ПК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2-х, 3-х местный</w:t>
            </w:r>
          </w:p>
        </w:tc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Стандарт Пк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4-х местный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Стандарт ПК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блок (2+2)</w:t>
            </w:r>
          </w:p>
        </w:tc>
        <w:tc>
          <w:tcPr>
            <w:tcW w:w="1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Стандарт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1-но местный</w:t>
            </w:r>
          </w:p>
        </w:tc>
      </w:tr>
      <w:tr>
        <w:trPr/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Гостиница "АКАДЕМИЯ</w:t>
            </w:r>
          </w:p>
        </w:tc>
        <w:tc>
          <w:tcPr>
            <w:tcW w:w="2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9 800</w:t>
            </w:r>
          </w:p>
        </w:tc>
        <w:tc>
          <w:tcPr>
            <w:tcW w:w="1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9 600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9 400 </w:t>
            </w:r>
          </w:p>
        </w:tc>
        <w:tc>
          <w:tcPr>
            <w:tcW w:w="1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</w:rPr>
              <w:t>10 800</w:t>
            </w:r>
          </w:p>
        </w:tc>
      </w:tr>
      <w:tr>
        <w:trPr/>
        <w:tc>
          <w:tcPr>
            <w:tcW w:w="1064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BFEAD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Детям до 12 лет на основное место предоставляется скидка – 5 %</w:t>
            </w:r>
          </w:p>
        </w:tc>
      </w:tr>
    </w:tbl>
    <w:p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cs="Arial" w:ascii="Arial" w:hAnsi="Arial"/>
          <w:color w:val="FFFFFF"/>
          <w:sz w:val="18"/>
          <w:szCs w:val="18"/>
        </w:rPr>
        <w:t>В стоимость входит: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Проезд комфортабельным автобусом, проживание согласно выбранной категории, питание по программе - (2 завтрака, 2 ужина), экскурсионное обслуживание, страховка.</w:t>
      </w:r>
    </w:p>
    <w:p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cs="Arial" w:ascii="Arial" w:hAnsi="Arial"/>
          <w:color w:val="FFFFFF"/>
          <w:sz w:val="18"/>
          <w:szCs w:val="18"/>
        </w:rPr>
        <w:t>Дополнительно оплачивается:</w:t>
      </w:r>
    </w:p>
    <w:p>
      <w:pPr>
        <w:pStyle w:val="Normal"/>
        <w:numPr>
          <w:ilvl w:val="0"/>
          <w:numId w:val="1"/>
        </w:numPr>
        <w:spacing w:before="0" w:after="45"/>
        <w:ind w:left="300" w:hanging="36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cs="Arial" w:ascii="Arial" w:hAnsi="Arial"/>
          <w:color w:val="363636"/>
          <w:sz w:val="18"/>
          <w:szCs w:val="18"/>
        </w:rPr>
        <w:t>Нижне-Архызское городище – 250 руб./чел. (вход + экскурсия);</w:t>
      </w:r>
    </w:p>
    <w:p>
      <w:pPr>
        <w:pStyle w:val="Normal"/>
        <w:numPr>
          <w:ilvl w:val="0"/>
          <w:numId w:val="1"/>
        </w:numPr>
        <w:spacing w:before="0" w:after="45"/>
        <w:ind w:left="300" w:hanging="36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cs="Arial" w:ascii="Arial" w:hAnsi="Arial"/>
          <w:color w:val="363636"/>
          <w:sz w:val="18"/>
          <w:szCs w:val="18"/>
        </w:rPr>
        <w:t>Экскурсия на БТА – 200/100  руб. взр./дет.</w:t>
      </w:r>
    </w:p>
    <w:p>
      <w:pPr>
        <w:pStyle w:val="Normal"/>
        <w:numPr>
          <w:ilvl w:val="0"/>
          <w:numId w:val="1"/>
        </w:numPr>
        <w:spacing w:before="0" w:after="45"/>
        <w:ind w:left="300" w:hanging="36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cs="Arial" w:ascii="Arial" w:hAnsi="Arial"/>
          <w:color w:val="363636"/>
          <w:sz w:val="18"/>
          <w:szCs w:val="18"/>
        </w:rPr>
        <w:t>Канатная дорога в Архызе – 800 руб.взр./400 дет. (до 13 лет);</w:t>
      </w:r>
    </w:p>
    <w:p>
      <w:pPr>
        <w:pStyle w:val="Normal"/>
        <w:numPr>
          <w:ilvl w:val="0"/>
          <w:numId w:val="1"/>
        </w:numPr>
        <w:spacing w:before="0" w:after="45"/>
        <w:ind w:left="300" w:hanging="36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cs="Arial" w:ascii="Arial" w:hAnsi="Arial"/>
          <w:color w:val="363636"/>
          <w:sz w:val="18"/>
          <w:szCs w:val="18"/>
        </w:rPr>
        <w:t>Канатная дорога в Домбае – 1100 руб./чел. (три очереди)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Внимание! Стоимость входных билетов  на Новогодние и Рождественские праздники может изменяться, учитывайте это при составлении бюджета на поездку!!!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>
      <w:pPr>
        <w:pStyle w:val="NormalWeb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>
      <w:pPr>
        <w:pStyle w:val="NormalWeb"/>
        <w:spacing w:before="0" w:after="0"/>
        <w:jc w:val="center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97" w:right="397" w:header="421" w:top="47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49" w:type="dxa"/>
      <w:jc w:val="left"/>
      <w:tblInd w:w="388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702"/>
      <w:gridCol w:w="8646"/>
    </w:tblGrid>
    <w:tr>
      <w:trPr>
        <w:trHeight w:val="694" w:hRule="atLeast"/>
      </w:trPr>
      <w:tc>
        <w:tcPr>
          <w:tcW w:w="1702" w:type="dxa"/>
          <w:tcBorders/>
          <w:shd w:fill="auto" w:val="clear"/>
        </w:tcPr>
        <w:p>
          <w:pPr>
            <w:pStyle w:val="Normal"/>
            <w:rPr>
              <w:rFonts w:ascii="Arial" w:hAnsi="Arial" w:cs="Arial"/>
              <w:b/>
              <w:b/>
              <w:bCs/>
              <w:color w:val="000000"/>
              <w:sz w:val="28"/>
              <w:szCs w:val="28"/>
            </w:rPr>
          </w:pPr>
          <w:r>
            <w:rPr/>
            <w:drawing>
              <wp:inline distT="0" distB="0" distL="0" distR="7620">
                <wp:extent cx="944880" cy="685800"/>
                <wp:effectExtent l="0" t="0" r="0" b="0"/>
                <wp:docPr id="4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/>
          <w:shd w:fill="auto" w:val="clear"/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color w:val="003399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jc w:val="left"/>
            <w:tblInd w:w="0" w:type="dxa"/>
            <w:tblBorders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8146"/>
          </w:tblGrid>
          <w:tr>
            <w:trPr>
              <w:trHeight w:val="475" w:hRule="atLeast"/>
            </w:trPr>
            <w:tc>
              <w:tcPr>
                <w:tcW w:w="8146" w:type="dxa"/>
                <w:tcBorders/>
                <w:shd w:fill="auto" w:val="clear"/>
              </w:tcPr>
              <w:p>
                <w:pPr>
                  <w:pStyle w:val="Normal"/>
                  <w:jc w:val="center"/>
                  <w:rPr>
                    <w:rFonts w:ascii="Arial" w:hAnsi="Arial" w:cs="Arial"/>
                    <w:b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cs="Arial" w:ascii="Arial" w:hAnsi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>
                <w:pPr>
                  <w:pStyle w:val="Normal"/>
                  <w:jc w:val="center"/>
                  <w:rPr>
                    <w:rFonts w:ascii="Arial" w:hAnsi="Arial" w:cs="Arial"/>
                    <w:b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cs="Arial" w:ascii="Arial" w:hAnsi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>
                  <w:rPr>
                    <w:rFonts w:cs="Arial" w:ascii="Arial" w:hAnsi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>
                  <w:rPr>
                    <w:rFonts w:cs="Arial" w:ascii="Arial" w:hAnsi="Arial"/>
                    <w:b/>
                    <w:bCs/>
                    <w:color w:val="003399"/>
                    <w:sz w:val="20"/>
                    <w:szCs w:val="20"/>
                  </w:rPr>
                  <w:t>168 168, т.м.+7 (918) 677 87 87, т.м. +7 (988) 243 0 243</w:t>
                </w:r>
              </w:p>
            </w:tc>
          </w:tr>
        </w:tbl>
        <w:p>
          <w:pPr>
            <w:pStyle w:val="Normal"/>
            <w:jc w:val="center"/>
            <w:rPr/>
          </w:pPr>
          <w:hyperlink r:id="rId2"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  <w:r>
            <w:rPr>
              <w:rFonts w:cs="Arial" w:ascii="Arial" w:hAnsi="Arial"/>
              <w:bCs/>
              <w:color w:val="003399"/>
              <w:sz w:val="20"/>
              <w:szCs w:val="20"/>
            </w:rPr>
            <w:t xml:space="preserve">     </w:t>
          </w:r>
          <w:r>
            <w:rPr>
              <w:rFonts w:cs="Arial" w:ascii="Arial" w:hAnsi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>
          <w:pPr>
            <w:pStyle w:val="Normal"/>
            <w:jc w:val="center"/>
            <w:rPr/>
          </w:pPr>
          <w:hyperlink r:id="rId3"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>
              <w:rPr>
                <w:rStyle w:val="ListLabel16"/>
                <w:rFonts w:cs="Arial" w:ascii="Arial" w:hAnsi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</w:p>
      </w:tc>
    </w:tr>
  </w:tbl>
  <w:p>
    <w:pPr>
      <w:pStyle w:val="Style1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54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tabs>
        <w:tab w:val="left" w:pos="6780" w:leader="none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Normal"/>
    <w:qFormat/>
    <w:pPr>
      <w:keepNext w:val="true"/>
      <w:tabs>
        <w:tab w:val="left" w:pos="6780" w:leader="none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Normal"/>
    <w:qFormat/>
    <w:pPr>
      <w:keepNext w:val="true"/>
      <w:outlineLvl w:val="2"/>
    </w:pPr>
    <w:rPr>
      <w:b/>
      <w:color w:val="008000"/>
      <w:sz w:val="22"/>
    </w:rPr>
  </w:style>
  <w:style w:type="paragraph" w:styleId="4">
    <w:name w:val="Heading 4"/>
    <w:basedOn w:val="Normal"/>
    <w:qFormat/>
    <w:pPr>
      <w:keepNext w:val="true"/>
      <w:tabs>
        <w:tab w:val="left" w:pos="6780" w:leader="none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Normal"/>
    <w:qFormat/>
    <w:pPr>
      <w:keepNext w:val="true"/>
      <w:tabs>
        <w:tab w:val="left" w:pos="6780" w:leader="none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Normal"/>
    <w:qFormat/>
    <w:pPr>
      <w:keepNext w:val="true"/>
      <w:tabs>
        <w:tab w:val="left" w:pos="0" w:leader="none"/>
      </w:tabs>
      <w:jc w:val="both"/>
      <w:outlineLvl w:val="5"/>
    </w:pPr>
    <w:rPr>
      <w:sz w:val="28"/>
    </w:rPr>
  </w:style>
  <w:style w:type="paragraph" w:styleId="7">
    <w:name w:val="Heading 7"/>
    <w:basedOn w:val="Normal"/>
    <w:qFormat/>
    <w:pPr>
      <w:keepNext w:val="true"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Normal"/>
    <w:qFormat/>
    <w:pPr>
      <w:keepNext w:val="true"/>
      <w:outlineLvl w:val="7"/>
    </w:pPr>
    <w:rPr>
      <w:b/>
      <w:color w:val="008000"/>
      <w:sz w:val="28"/>
    </w:rPr>
  </w:style>
  <w:style w:type="paragraph" w:styleId="9">
    <w:name w:val="Heading 9"/>
    <w:basedOn w:val="Normal"/>
    <w:qFormat/>
    <w:pPr>
      <w:keepNext w:val="true"/>
      <w:jc w:val="center"/>
      <w:outlineLvl w:val="8"/>
    </w:pPr>
    <w:rPr>
      <w:b/>
      <w:color w:val="008000"/>
      <w:sz w:val="7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Style6">
    <w:name w:val="Выделение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01" w:customStyle="1">
    <w:name w:val="t01"/>
    <w:qFormat/>
    <w:rsid w:val="009a26a4"/>
    <w:rPr>
      <w:rFonts w:ascii="Verdana" w:hAnsi="Verdana"/>
      <w:color w:val="000080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81000f"/>
    <w:rPr/>
  </w:style>
  <w:style w:type="character" w:styleId="Style7" w:customStyle="1">
    <w:name w:val="Верхний колонтитул Знак"/>
    <w:link w:val="ad"/>
    <w:qFormat/>
    <w:rsid w:val="00314af5"/>
    <w:rPr>
      <w:sz w:val="24"/>
      <w:szCs w:val="24"/>
    </w:rPr>
  </w:style>
  <w:style w:type="character" w:styleId="Style8" w:customStyle="1">
    <w:name w:val="Нижний колонтитул Знак"/>
    <w:link w:val="af"/>
    <w:qFormat/>
    <w:rsid w:val="00314af5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/>
      <w:sz w:val="18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styleId="ListLabel17">
    <w:name w:val="ListLabel 17"/>
    <w:qFormat/>
    <w:rPr>
      <w:rFonts w:ascii="Arial" w:hAnsi="Arial" w:cs="Arial"/>
      <w:b/>
      <w:bCs/>
      <w:color w:val="003399"/>
      <w:sz w:val="20"/>
      <w:szCs w:val="2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tabs>
        <w:tab w:val="left" w:pos="6780" w:leader="none"/>
      </w:tabs>
      <w:jc w:val="both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Body Text Indent"/>
    <w:basedOn w:val="Normal"/>
    <w:pPr>
      <w:ind w:firstLine="708"/>
    </w:pPr>
    <w:rPr>
      <w:sz w:val="36"/>
    </w:rPr>
  </w:style>
  <w:style w:type="paragraph" w:styleId="BodyText2">
    <w:name w:val="Body Text 2"/>
    <w:basedOn w:val="Normal"/>
    <w:qFormat/>
    <w:pPr/>
    <w:rPr>
      <w:bCs/>
      <w:color w:val="000000"/>
      <w:sz w:val="28"/>
    </w:rPr>
  </w:style>
  <w:style w:type="paragraph" w:styleId="BodyText3">
    <w:name w:val="Body Text 3"/>
    <w:basedOn w:val="Normal"/>
    <w:qFormat/>
    <w:pPr>
      <w:jc w:val="center"/>
    </w:pPr>
    <w:rPr>
      <w:bCs/>
      <w:color w:val="000000"/>
      <w:sz w:val="36"/>
    </w:rPr>
  </w:style>
  <w:style w:type="paragraph" w:styleId="NormalWeb">
    <w:name w:val="Normal (Web)"/>
    <w:basedOn w:val="Normal"/>
    <w:uiPriority w:val="99"/>
    <w:qFormat/>
    <w:pPr>
      <w:spacing w:before="48" w:after="24"/>
      <w:ind w:right="240" w:hanging="0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T0" w:customStyle="1">
    <w:name w:val="t0"/>
    <w:basedOn w:val="Normal"/>
    <w:qFormat/>
    <w:rsid w:val="009a26a4"/>
    <w:pPr>
      <w:spacing w:beforeAutospacing="1" w:afterAutospacing="1"/>
    </w:pPr>
    <w:rPr>
      <w:rFonts w:ascii="Verdana" w:hAnsi="Verdana"/>
      <w:color w:val="000080"/>
      <w:sz w:val="18"/>
      <w:szCs w:val="18"/>
    </w:rPr>
  </w:style>
  <w:style w:type="paragraph" w:styleId="Style15">
    <w:name w:val="Title"/>
    <w:basedOn w:val="Normal"/>
    <w:qFormat/>
    <w:rsid w:val="00d42fda"/>
    <w:pPr>
      <w:jc w:val="center"/>
    </w:pPr>
    <w:rPr>
      <w:b/>
      <w:bCs/>
      <w:sz w:val="28"/>
    </w:rPr>
  </w:style>
  <w:style w:type="paragraph" w:styleId="Style16">
    <w:name w:val="Header"/>
    <w:basedOn w:val="Normal"/>
    <w:link w:val="ae"/>
    <w:rsid w:val="00314af5"/>
    <w:pPr>
      <w:tabs>
        <w:tab w:val="center" w:pos="4677" w:leader="none"/>
        <w:tab w:val="right" w:pos="9355" w:leader="none"/>
      </w:tabs>
    </w:pPr>
    <w:rPr/>
  </w:style>
  <w:style w:type="paragraph" w:styleId="Style17">
    <w:name w:val="Footer"/>
    <w:basedOn w:val="Normal"/>
    <w:link w:val="af0"/>
    <w:rsid w:val="00314af5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149f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anex-krasnodar.ru/" TargetMode="External"/><Relationship Id="rId3" Type="http://schemas.openxmlformats.org/officeDocument/2006/relationships/hyperlink" Target="mailto:tury-krasnodar@yandex.ru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2</Pages>
  <Words>946</Words>
  <Characters>5981</Characters>
  <CharactersWithSpaces>6931</CharactersWithSpaces>
  <Paragraphs>44</Paragraphs>
  <Company>EOS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2018-11-07T13:03:00Z</dcterms:created>
  <dc:creator>ЭОС</dc:creator>
  <dc:description/>
  <dc:language>ru-RU</dc:language>
  <cp:lastModifiedBy>Менеджер</cp:lastModifiedBy>
  <cp:lastPrinted>2018-11-01T10:23:00Z</cp:lastPrinted>
  <dcterms:modified xsi:type="dcterms:W3CDTF">2018-11-07T13:03:00Z</dcterms:modified>
  <cp:revision>2</cp:revision>
  <dc:subject/>
  <dc:title>35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